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赵永祥</w:t>
      </w:r>
      <w:r>
        <w:rPr>
          <w:rFonts w:hint="eastAsia"/>
          <w:sz w:val="15"/>
          <w:szCs w:val="15"/>
          <w:highlight w:val="none"/>
        </w:rPr>
        <w:t>，</w:t>
      </w:r>
      <w:r>
        <w:rPr>
          <w:rFonts w:hint="eastAsia"/>
          <w:sz w:val="15"/>
          <w:szCs w:val="15"/>
          <w:highlight w:val="none"/>
          <w:lang w:val="en-US" w:eastAsia="zh-CN"/>
        </w:rPr>
        <w:t>131122197309161810</w:t>
      </w:r>
      <w:r>
        <w:rPr>
          <w:rFonts w:hint="eastAsia"/>
          <w:sz w:val="15"/>
          <w:szCs w:val="15"/>
        </w:rPr>
        <w:t xml:space="preserve">  </w:t>
      </w:r>
      <w:r>
        <w:rPr>
          <w:rFonts w:hint="eastAsia"/>
          <w:sz w:val="15"/>
          <w:szCs w:val="15"/>
          <w:lang w:val="en-US" w:eastAsia="zh-CN"/>
        </w:rPr>
        <w:t>冀T56393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