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孙占良</w:t>
      </w:r>
      <w:r>
        <w:rPr>
          <w:rFonts w:hint="eastAsia"/>
          <w:sz w:val="15"/>
          <w:szCs w:val="15"/>
          <w:highlight w:val="none"/>
        </w:rPr>
        <w:t>，</w:t>
      </w:r>
      <w:r>
        <w:rPr>
          <w:rFonts w:hint="eastAsia"/>
          <w:sz w:val="15"/>
          <w:szCs w:val="15"/>
          <w:highlight w:val="none"/>
          <w:lang w:val="en-US" w:eastAsia="zh-CN"/>
        </w:rPr>
        <w:t>130629197104170335</w:t>
      </w:r>
      <w:r>
        <w:rPr>
          <w:rFonts w:hint="eastAsia"/>
          <w:sz w:val="15"/>
          <w:szCs w:val="15"/>
        </w:rPr>
        <w:t xml:space="preserve">  </w:t>
      </w:r>
      <w:r>
        <w:rPr>
          <w:rFonts w:hint="eastAsia"/>
          <w:sz w:val="15"/>
          <w:szCs w:val="15"/>
          <w:lang w:val="en-US" w:eastAsia="zh-CN"/>
        </w:rPr>
        <w:t>冀FQ9159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