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董艳岭</w:t>
      </w:r>
      <w:r>
        <w:rPr>
          <w:rFonts w:hint="eastAsia"/>
          <w:sz w:val="15"/>
          <w:szCs w:val="15"/>
          <w:highlight w:val="none"/>
        </w:rPr>
        <w:t>，</w:t>
      </w:r>
      <w:r>
        <w:rPr>
          <w:rFonts w:hint="eastAsia"/>
          <w:sz w:val="15"/>
          <w:szCs w:val="15"/>
          <w:highlight w:val="none"/>
          <w:lang w:val="en-US" w:eastAsia="zh-CN"/>
        </w:rPr>
        <w:t>130425197808252033</w:t>
      </w:r>
      <w:r>
        <w:rPr>
          <w:rFonts w:hint="eastAsia"/>
          <w:sz w:val="15"/>
          <w:szCs w:val="15"/>
        </w:rPr>
        <w:t xml:space="preserve">  </w:t>
      </w:r>
      <w:r>
        <w:rPr>
          <w:rFonts w:hint="eastAsia"/>
          <w:sz w:val="15"/>
          <w:szCs w:val="15"/>
          <w:lang w:val="en-US" w:eastAsia="zh-CN"/>
        </w:rPr>
        <w:t>冀D08659D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