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张彦刚</w:t>
      </w:r>
      <w:r>
        <w:rPr>
          <w:rFonts w:hint="eastAsia"/>
          <w:sz w:val="15"/>
          <w:szCs w:val="15"/>
          <w:highlight w:val="none"/>
        </w:rPr>
        <w:t>，</w:t>
      </w:r>
      <w:r>
        <w:rPr>
          <w:rFonts w:hint="eastAsia"/>
          <w:sz w:val="15"/>
          <w:szCs w:val="15"/>
          <w:highlight w:val="none"/>
          <w:lang w:val="en-US" w:eastAsia="zh-CN"/>
        </w:rPr>
        <w:t>130421198010103935</w:t>
      </w:r>
      <w:r>
        <w:rPr>
          <w:rFonts w:hint="eastAsia"/>
          <w:sz w:val="15"/>
          <w:szCs w:val="15"/>
        </w:rPr>
        <w:t xml:space="preserve">  </w:t>
      </w:r>
      <w:r>
        <w:rPr>
          <w:rFonts w:hint="eastAsia"/>
          <w:sz w:val="15"/>
          <w:szCs w:val="15"/>
          <w:lang w:val="en-US" w:eastAsia="zh-CN"/>
        </w:rPr>
        <w:t>冀D26576D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