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杨芳</w:t>
      </w:r>
      <w:r>
        <w:rPr>
          <w:rFonts w:hint="eastAsia"/>
          <w:sz w:val="15"/>
          <w:szCs w:val="15"/>
          <w:highlight w:val="none"/>
        </w:rPr>
        <w:t>，</w:t>
      </w:r>
      <w:r>
        <w:rPr>
          <w:rFonts w:hint="eastAsia"/>
          <w:sz w:val="15"/>
          <w:szCs w:val="15"/>
          <w:highlight w:val="none"/>
          <w:lang w:val="en-US" w:eastAsia="zh-CN"/>
        </w:rPr>
        <w:t>13018519830415002X</w:t>
      </w:r>
      <w:r>
        <w:rPr>
          <w:rFonts w:hint="eastAsia"/>
          <w:sz w:val="15"/>
          <w:szCs w:val="15"/>
        </w:rPr>
        <w:t xml:space="preserve">  </w:t>
      </w:r>
      <w:r>
        <w:rPr>
          <w:rFonts w:hint="eastAsia"/>
          <w:sz w:val="15"/>
          <w:szCs w:val="15"/>
          <w:lang w:val="en-US" w:eastAsia="zh-CN"/>
        </w:rPr>
        <w:t>冀A144XB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