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蔡城林</w:t>
      </w:r>
      <w:r>
        <w:rPr>
          <w:rFonts w:hint="eastAsia"/>
          <w:sz w:val="15"/>
          <w:szCs w:val="15"/>
          <w:highlight w:val="none"/>
        </w:rPr>
        <w:t>，</w:t>
      </w:r>
      <w:r>
        <w:rPr>
          <w:rFonts w:hint="eastAsia"/>
          <w:sz w:val="15"/>
          <w:szCs w:val="15"/>
          <w:highlight w:val="none"/>
          <w:lang w:val="en-US" w:eastAsia="zh-CN"/>
        </w:rPr>
        <w:t>130184200110014533</w:t>
      </w:r>
      <w:r>
        <w:rPr>
          <w:rFonts w:hint="eastAsia"/>
          <w:sz w:val="15"/>
          <w:szCs w:val="15"/>
        </w:rPr>
        <w:t xml:space="preserve">  </w:t>
      </w:r>
      <w:r>
        <w:rPr>
          <w:rFonts w:hint="eastAsia"/>
          <w:sz w:val="15"/>
          <w:szCs w:val="15"/>
          <w:lang w:val="en-US" w:eastAsia="zh-CN"/>
        </w:rPr>
        <w:t>冀A44751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