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段喜英</w:t>
      </w:r>
      <w:r>
        <w:rPr>
          <w:rFonts w:hint="eastAsia"/>
          <w:sz w:val="15"/>
          <w:szCs w:val="15"/>
          <w:highlight w:val="none"/>
        </w:rPr>
        <w:t>，</w:t>
      </w:r>
      <w:r>
        <w:rPr>
          <w:rFonts w:hint="eastAsia"/>
          <w:sz w:val="15"/>
          <w:szCs w:val="15"/>
          <w:highlight w:val="none"/>
          <w:lang w:val="en-US" w:eastAsia="zh-CN"/>
        </w:rPr>
        <w:t>130184198304034524</w:t>
      </w:r>
      <w:r>
        <w:rPr>
          <w:rFonts w:hint="eastAsia"/>
          <w:sz w:val="15"/>
          <w:szCs w:val="15"/>
        </w:rPr>
        <w:t xml:space="preserve">  </w:t>
      </w:r>
      <w:r>
        <w:rPr>
          <w:rFonts w:hint="eastAsia"/>
          <w:sz w:val="15"/>
          <w:szCs w:val="15"/>
          <w:lang w:val="en-US" w:eastAsia="zh-CN"/>
        </w:rPr>
        <w:t>冀A418AK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