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杨振智</w:t>
      </w:r>
      <w:r>
        <w:rPr>
          <w:rFonts w:hint="eastAsia"/>
          <w:sz w:val="15"/>
          <w:szCs w:val="15"/>
          <w:highlight w:val="none"/>
        </w:rPr>
        <w:t>，</w:t>
      </w:r>
      <w:r>
        <w:rPr>
          <w:rFonts w:hint="eastAsia"/>
          <w:sz w:val="15"/>
          <w:szCs w:val="15"/>
          <w:highlight w:val="none"/>
          <w:lang w:val="en-US" w:eastAsia="zh-CN"/>
        </w:rPr>
        <w:t>130131200808131253</w:t>
      </w:r>
      <w:r>
        <w:rPr>
          <w:rFonts w:hint="eastAsia"/>
          <w:sz w:val="15"/>
          <w:szCs w:val="15"/>
        </w:rPr>
        <w:t xml:space="preserve">  </w:t>
      </w:r>
      <w:r>
        <w:rPr>
          <w:rFonts w:hint="eastAsia"/>
          <w:sz w:val="15"/>
          <w:szCs w:val="15"/>
          <w:lang w:val="en-US" w:eastAsia="zh-CN"/>
        </w:rPr>
        <w:t>冀ABB917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