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盖宇璇</w:t>
      </w:r>
      <w:r>
        <w:rPr>
          <w:rFonts w:hint="eastAsia"/>
          <w:sz w:val="15"/>
          <w:szCs w:val="15"/>
          <w:highlight w:val="none"/>
        </w:rPr>
        <w:t>，</w:t>
      </w:r>
      <w:r>
        <w:rPr>
          <w:rFonts w:hint="eastAsia"/>
          <w:sz w:val="15"/>
          <w:szCs w:val="15"/>
          <w:highlight w:val="none"/>
          <w:lang w:val="en-US" w:eastAsia="zh-CN"/>
        </w:rPr>
        <w:t>130131200608153642</w:t>
      </w:r>
      <w:r>
        <w:rPr>
          <w:rFonts w:hint="eastAsia"/>
          <w:sz w:val="15"/>
          <w:szCs w:val="15"/>
        </w:rPr>
        <w:t xml:space="preserve">  </w:t>
      </w:r>
      <w:r>
        <w:rPr>
          <w:rFonts w:hint="eastAsia"/>
          <w:sz w:val="15"/>
          <w:szCs w:val="15"/>
          <w:lang w:val="en-US" w:eastAsia="zh-CN"/>
        </w:rPr>
        <w:t>沪A81182D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