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张环</w:t>
      </w:r>
      <w:r>
        <w:rPr>
          <w:rFonts w:hint="eastAsia"/>
          <w:sz w:val="15"/>
          <w:szCs w:val="15"/>
          <w:highlight w:val="none"/>
        </w:rPr>
        <w:t>，</w:t>
      </w:r>
      <w:r>
        <w:rPr>
          <w:rFonts w:hint="eastAsia"/>
          <w:sz w:val="15"/>
          <w:szCs w:val="15"/>
          <w:highlight w:val="none"/>
          <w:lang w:val="en-US" w:eastAsia="zh-CN"/>
        </w:rPr>
        <w:t>130131199603154229</w:t>
      </w:r>
      <w:r>
        <w:rPr>
          <w:rFonts w:hint="eastAsia"/>
          <w:sz w:val="15"/>
          <w:szCs w:val="15"/>
        </w:rPr>
        <w:t xml:space="preserve">  </w:t>
      </w:r>
      <w:r>
        <w:rPr>
          <w:rFonts w:hint="eastAsia"/>
          <w:sz w:val="15"/>
          <w:szCs w:val="15"/>
          <w:lang w:val="en-US" w:eastAsia="zh-CN"/>
        </w:rPr>
        <w:t>冀A439CB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