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王惠娟</w:t>
      </w:r>
      <w:r>
        <w:rPr>
          <w:rFonts w:hint="eastAsia"/>
          <w:sz w:val="15"/>
          <w:szCs w:val="15"/>
          <w:highlight w:val="none"/>
        </w:rPr>
        <w:t>，</w:t>
      </w:r>
      <w:r>
        <w:rPr>
          <w:rFonts w:hint="eastAsia"/>
          <w:sz w:val="15"/>
          <w:szCs w:val="15"/>
          <w:highlight w:val="none"/>
          <w:lang w:val="en-US" w:eastAsia="zh-CN"/>
        </w:rPr>
        <w:t>13013119900325332X</w:t>
      </w:r>
      <w:r>
        <w:rPr>
          <w:rFonts w:hint="eastAsia"/>
          <w:sz w:val="15"/>
          <w:szCs w:val="15"/>
        </w:rPr>
        <w:t xml:space="preserve">  </w:t>
      </w:r>
      <w:r>
        <w:rPr>
          <w:rFonts w:hint="eastAsia"/>
          <w:sz w:val="15"/>
          <w:szCs w:val="15"/>
          <w:lang w:val="en-US" w:eastAsia="zh-CN"/>
        </w:rPr>
        <w:t>冀A5944S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