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罗江辉</w:t>
      </w:r>
      <w:r>
        <w:rPr>
          <w:rFonts w:hint="eastAsia"/>
          <w:sz w:val="15"/>
          <w:szCs w:val="15"/>
          <w:highlight w:val="none"/>
        </w:rPr>
        <w:t>，</w:t>
      </w:r>
      <w:r>
        <w:rPr>
          <w:rFonts w:hint="eastAsia"/>
          <w:sz w:val="15"/>
          <w:szCs w:val="15"/>
          <w:highlight w:val="none"/>
          <w:lang w:val="en-US" w:eastAsia="zh-CN"/>
        </w:rPr>
        <w:t>13013119891112481X</w:t>
      </w:r>
      <w:r>
        <w:rPr>
          <w:rFonts w:hint="eastAsia"/>
          <w:sz w:val="15"/>
          <w:szCs w:val="15"/>
        </w:rPr>
        <w:t xml:space="preserve">  </w:t>
      </w:r>
      <w:r>
        <w:rPr>
          <w:rFonts w:hint="eastAsia"/>
          <w:sz w:val="15"/>
          <w:szCs w:val="15"/>
          <w:lang w:val="en-US" w:eastAsia="zh-CN"/>
        </w:rPr>
        <w:t>冀AZT095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