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史江彦</w:t>
      </w:r>
      <w:r>
        <w:rPr>
          <w:rFonts w:hint="eastAsia"/>
          <w:sz w:val="15"/>
          <w:szCs w:val="15"/>
          <w:highlight w:val="none"/>
        </w:rPr>
        <w:t>，</w:t>
      </w:r>
      <w:r>
        <w:rPr>
          <w:rFonts w:hint="eastAsia"/>
          <w:sz w:val="15"/>
          <w:szCs w:val="15"/>
          <w:highlight w:val="none"/>
          <w:lang w:val="en-US" w:eastAsia="zh-CN"/>
        </w:rPr>
        <w:t>130131198808144521</w:t>
      </w:r>
      <w:r>
        <w:rPr>
          <w:rFonts w:hint="eastAsia"/>
          <w:sz w:val="15"/>
          <w:szCs w:val="15"/>
        </w:rPr>
        <w:t xml:space="preserve">  </w:t>
      </w:r>
      <w:r>
        <w:rPr>
          <w:rFonts w:hint="eastAsia"/>
          <w:sz w:val="15"/>
          <w:szCs w:val="15"/>
          <w:lang w:val="en-US" w:eastAsia="zh-CN"/>
        </w:rPr>
        <w:t>冀ASP925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