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吴成光</w:t>
      </w:r>
      <w:r>
        <w:rPr>
          <w:rFonts w:hint="eastAsia"/>
          <w:sz w:val="15"/>
          <w:szCs w:val="15"/>
          <w:highlight w:val="none"/>
        </w:rPr>
        <w:t>，</w:t>
      </w:r>
      <w:r>
        <w:rPr>
          <w:rFonts w:hint="eastAsia"/>
          <w:sz w:val="15"/>
          <w:szCs w:val="15"/>
          <w:highlight w:val="none"/>
          <w:lang w:val="en-US" w:eastAsia="zh-CN"/>
        </w:rPr>
        <w:t>13013119880627121X</w:t>
      </w:r>
      <w:r>
        <w:rPr>
          <w:rFonts w:hint="eastAsia"/>
          <w:sz w:val="15"/>
          <w:szCs w:val="15"/>
        </w:rPr>
        <w:t xml:space="preserve">  </w:t>
      </w:r>
      <w:r>
        <w:rPr>
          <w:rFonts w:hint="eastAsia"/>
          <w:sz w:val="15"/>
          <w:szCs w:val="15"/>
          <w:lang w:val="en-US" w:eastAsia="zh-CN"/>
        </w:rPr>
        <w:t>冀A34586D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