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曹利军</w:t>
      </w:r>
      <w:r>
        <w:rPr>
          <w:rFonts w:hint="eastAsia"/>
          <w:sz w:val="15"/>
          <w:szCs w:val="15"/>
          <w:highlight w:val="none"/>
        </w:rPr>
        <w:t>，</w:t>
      </w:r>
      <w:r>
        <w:rPr>
          <w:rFonts w:hint="eastAsia"/>
          <w:sz w:val="15"/>
          <w:szCs w:val="15"/>
          <w:highlight w:val="none"/>
          <w:lang w:val="en-US" w:eastAsia="zh-CN"/>
        </w:rPr>
        <w:t>130131198806021253</w:t>
      </w:r>
      <w:r>
        <w:rPr>
          <w:rFonts w:hint="eastAsia"/>
          <w:sz w:val="15"/>
          <w:szCs w:val="15"/>
        </w:rPr>
        <w:t xml:space="preserve">  </w:t>
      </w:r>
      <w:r>
        <w:rPr>
          <w:rFonts w:hint="eastAsia"/>
          <w:sz w:val="15"/>
          <w:szCs w:val="15"/>
          <w:lang w:val="en-US" w:eastAsia="zh-CN"/>
        </w:rPr>
        <w:t>冀A33661D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