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周晓欢</w:t>
      </w:r>
      <w:r>
        <w:rPr>
          <w:rFonts w:hint="eastAsia"/>
          <w:sz w:val="15"/>
          <w:szCs w:val="15"/>
          <w:highlight w:val="none"/>
        </w:rPr>
        <w:t>，</w:t>
      </w:r>
      <w:r>
        <w:rPr>
          <w:rFonts w:hint="eastAsia"/>
          <w:sz w:val="15"/>
          <w:szCs w:val="15"/>
          <w:highlight w:val="none"/>
          <w:lang w:val="en-US" w:eastAsia="zh-CN"/>
        </w:rPr>
        <w:t>130131198805081246</w:t>
      </w:r>
      <w:r>
        <w:rPr>
          <w:rFonts w:hint="eastAsia"/>
          <w:sz w:val="15"/>
          <w:szCs w:val="15"/>
        </w:rPr>
        <w:t xml:space="preserve">  </w:t>
      </w:r>
      <w:r>
        <w:rPr>
          <w:rFonts w:hint="eastAsia"/>
          <w:sz w:val="15"/>
          <w:szCs w:val="15"/>
          <w:lang w:val="en-US" w:eastAsia="zh-CN"/>
        </w:rPr>
        <w:t>沪A85575D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