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张得意</w:t>
      </w:r>
      <w:r>
        <w:rPr>
          <w:rFonts w:hint="eastAsia"/>
          <w:sz w:val="15"/>
          <w:szCs w:val="15"/>
          <w:highlight w:val="none"/>
        </w:rPr>
        <w:t>，</w:t>
      </w:r>
      <w:r>
        <w:rPr>
          <w:rFonts w:hint="eastAsia"/>
          <w:sz w:val="15"/>
          <w:szCs w:val="15"/>
          <w:highlight w:val="none"/>
          <w:lang w:val="en-US" w:eastAsia="zh-CN"/>
        </w:rPr>
        <w:t>130131198801033335</w:t>
      </w:r>
      <w:r>
        <w:rPr>
          <w:rFonts w:hint="eastAsia"/>
          <w:sz w:val="15"/>
          <w:szCs w:val="15"/>
        </w:rPr>
        <w:t xml:space="preserve">  </w:t>
      </w:r>
      <w:r>
        <w:rPr>
          <w:rFonts w:hint="eastAsia"/>
          <w:sz w:val="15"/>
          <w:szCs w:val="15"/>
          <w:lang w:val="en-US" w:eastAsia="zh-CN"/>
        </w:rPr>
        <w:t>冀AKL520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