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刘建其</w:t>
      </w:r>
      <w:r>
        <w:rPr>
          <w:rFonts w:hint="eastAsia"/>
          <w:sz w:val="15"/>
          <w:szCs w:val="15"/>
          <w:highlight w:val="none"/>
        </w:rPr>
        <w:t>，</w:t>
      </w:r>
      <w:r>
        <w:rPr>
          <w:rFonts w:hint="eastAsia"/>
          <w:sz w:val="15"/>
          <w:szCs w:val="15"/>
          <w:highlight w:val="none"/>
          <w:lang w:val="en-US" w:eastAsia="zh-CN"/>
        </w:rPr>
        <w:t>130131198611123313</w:t>
      </w:r>
      <w:r>
        <w:rPr>
          <w:rFonts w:hint="eastAsia"/>
          <w:sz w:val="15"/>
          <w:szCs w:val="15"/>
        </w:rPr>
        <w:t xml:space="preserve">  </w:t>
      </w:r>
      <w:r>
        <w:rPr>
          <w:rFonts w:hint="eastAsia"/>
          <w:sz w:val="15"/>
          <w:szCs w:val="15"/>
          <w:lang w:val="en-US" w:eastAsia="zh-CN"/>
        </w:rPr>
        <w:t>冀A9166V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