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焦二雷</w:t>
      </w:r>
      <w:r>
        <w:rPr>
          <w:rFonts w:hint="eastAsia"/>
          <w:sz w:val="15"/>
          <w:szCs w:val="15"/>
          <w:highlight w:val="none"/>
        </w:rPr>
        <w:t>，</w:t>
      </w:r>
      <w:r>
        <w:rPr>
          <w:rFonts w:hint="eastAsia"/>
          <w:sz w:val="15"/>
          <w:szCs w:val="15"/>
          <w:highlight w:val="none"/>
          <w:lang w:val="en-US" w:eastAsia="zh-CN"/>
        </w:rPr>
        <w:t>130131198608200912</w:t>
      </w:r>
      <w:r>
        <w:rPr>
          <w:rFonts w:hint="eastAsia"/>
          <w:sz w:val="15"/>
          <w:szCs w:val="15"/>
        </w:rPr>
        <w:t xml:space="preserve">  </w:t>
      </w:r>
      <w:r>
        <w:rPr>
          <w:rFonts w:hint="eastAsia"/>
          <w:sz w:val="15"/>
          <w:szCs w:val="15"/>
          <w:lang w:val="en-US" w:eastAsia="zh-CN"/>
        </w:rPr>
        <w:t>冀A33168D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