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董棚</w:t>
      </w:r>
      <w:r>
        <w:rPr>
          <w:rFonts w:hint="eastAsia"/>
          <w:sz w:val="15"/>
          <w:szCs w:val="15"/>
          <w:highlight w:val="none"/>
        </w:rPr>
        <w:t>，</w:t>
      </w:r>
      <w:r>
        <w:rPr>
          <w:rFonts w:hint="eastAsia"/>
          <w:sz w:val="15"/>
          <w:szCs w:val="15"/>
          <w:highlight w:val="none"/>
          <w:lang w:val="en-US" w:eastAsia="zh-CN"/>
        </w:rPr>
        <w:t>130131198603210636</w:t>
      </w:r>
      <w:r>
        <w:rPr>
          <w:rFonts w:hint="eastAsia"/>
          <w:sz w:val="15"/>
          <w:szCs w:val="15"/>
        </w:rPr>
        <w:t xml:space="preserve">  </w:t>
      </w:r>
      <w:r>
        <w:rPr>
          <w:rFonts w:hint="eastAsia"/>
          <w:sz w:val="15"/>
          <w:szCs w:val="15"/>
          <w:lang w:val="en-US" w:eastAsia="zh-CN"/>
        </w:rPr>
        <w:t>冀AQD131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