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宋丽娟</w:t>
      </w:r>
      <w:r>
        <w:rPr>
          <w:rFonts w:hint="eastAsia"/>
          <w:sz w:val="15"/>
          <w:szCs w:val="15"/>
          <w:highlight w:val="none"/>
        </w:rPr>
        <w:t>，</w:t>
      </w:r>
      <w:r>
        <w:rPr>
          <w:rFonts w:hint="eastAsia"/>
          <w:sz w:val="15"/>
          <w:szCs w:val="15"/>
          <w:highlight w:val="none"/>
          <w:lang w:val="en-US" w:eastAsia="zh-CN"/>
        </w:rPr>
        <w:t>130131198311063320</w:t>
      </w:r>
      <w:r>
        <w:rPr>
          <w:rFonts w:hint="eastAsia"/>
          <w:sz w:val="15"/>
          <w:szCs w:val="15"/>
        </w:rPr>
        <w:t xml:space="preserve">  </w:t>
      </w:r>
      <w:r>
        <w:rPr>
          <w:rFonts w:hint="eastAsia"/>
          <w:sz w:val="15"/>
          <w:szCs w:val="15"/>
          <w:lang w:val="en-US" w:eastAsia="zh-CN"/>
        </w:rPr>
        <w:t>冀AHK991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