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宋玉龙</w:t>
      </w:r>
      <w:r>
        <w:rPr>
          <w:rFonts w:hint="eastAsia"/>
          <w:sz w:val="15"/>
          <w:szCs w:val="15"/>
          <w:highlight w:val="none"/>
        </w:rPr>
        <w:t>，</w:t>
      </w:r>
      <w:r>
        <w:rPr>
          <w:rFonts w:hint="eastAsia"/>
          <w:sz w:val="15"/>
          <w:szCs w:val="15"/>
          <w:highlight w:val="none"/>
          <w:lang w:val="en-US" w:eastAsia="zh-CN"/>
        </w:rPr>
        <w:t>130131198209010054</w:t>
      </w:r>
      <w:r>
        <w:rPr>
          <w:rFonts w:hint="eastAsia"/>
          <w:sz w:val="15"/>
          <w:szCs w:val="15"/>
        </w:rPr>
        <w:t xml:space="preserve">  </w:t>
      </w:r>
      <w:r>
        <w:rPr>
          <w:rFonts w:hint="eastAsia"/>
          <w:sz w:val="15"/>
          <w:szCs w:val="15"/>
          <w:lang w:val="en-US" w:eastAsia="zh-CN"/>
        </w:rPr>
        <w:t>冀AX8748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