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樊文波</w:t>
      </w:r>
      <w:r>
        <w:rPr>
          <w:rFonts w:hint="eastAsia"/>
          <w:sz w:val="15"/>
          <w:szCs w:val="15"/>
          <w:highlight w:val="none"/>
        </w:rPr>
        <w:t>，</w:t>
      </w:r>
      <w:r>
        <w:rPr>
          <w:rFonts w:hint="eastAsia"/>
          <w:sz w:val="15"/>
          <w:szCs w:val="15"/>
          <w:highlight w:val="none"/>
          <w:lang w:val="en-US" w:eastAsia="zh-CN"/>
        </w:rPr>
        <w:t>130131198208144210</w:t>
      </w:r>
      <w:r>
        <w:rPr>
          <w:rFonts w:hint="eastAsia"/>
          <w:sz w:val="15"/>
          <w:szCs w:val="15"/>
        </w:rPr>
        <w:t xml:space="preserve">  </w:t>
      </w:r>
      <w:r>
        <w:rPr>
          <w:rFonts w:hint="eastAsia"/>
          <w:sz w:val="15"/>
          <w:szCs w:val="15"/>
          <w:lang w:val="en-US" w:eastAsia="zh-CN"/>
        </w:rPr>
        <w:t>冀A304X2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