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赵彦方</w:t>
      </w:r>
      <w:r>
        <w:rPr>
          <w:rFonts w:hint="eastAsia"/>
          <w:sz w:val="15"/>
          <w:szCs w:val="15"/>
          <w:highlight w:val="none"/>
        </w:rPr>
        <w:t>，</w:t>
      </w:r>
      <w:r>
        <w:rPr>
          <w:rFonts w:hint="eastAsia"/>
          <w:sz w:val="15"/>
          <w:szCs w:val="15"/>
          <w:highlight w:val="none"/>
          <w:lang w:val="en-US" w:eastAsia="zh-CN"/>
        </w:rPr>
        <w:t>130131198204254519</w:t>
      </w:r>
      <w:r>
        <w:rPr>
          <w:rFonts w:hint="eastAsia"/>
          <w:sz w:val="15"/>
          <w:szCs w:val="15"/>
        </w:rPr>
        <w:t xml:space="preserve">  </w:t>
      </w:r>
      <w:r>
        <w:rPr>
          <w:rFonts w:hint="eastAsia"/>
          <w:sz w:val="15"/>
          <w:szCs w:val="15"/>
          <w:lang w:val="en-US" w:eastAsia="zh-CN"/>
        </w:rPr>
        <w:t>冀AG6487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