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牛嘉和</w:t>
      </w:r>
      <w:r>
        <w:rPr>
          <w:rFonts w:hint="eastAsia"/>
          <w:sz w:val="15"/>
          <w:szCs w:val="15"/>
          <w:highlight w:val="none"/>
        </w:rPr>
        <w:t>，</w:t>
      </w:r>
      <w:r>
        <w:rPr>
          <w:rFonts w:hint="eastAsia"/>
          <w:sz w:val="15"/>
          <w:szCs w:val="15"/>
          <w:highlight w:val="none"/>
          <w:lang w:val="en-US" w:eastAsia="zh-CN"/>
        </w:rPr>
        <w:t>130126200302200310</w:t>
      </w:r>
      <w:r>
        <w:rPr>
          <w:rFonts w:hint="eastAsia"/>
          <w:sz w:val="15"/>
          <w:szCs w:val="15"/>
        </w:rPr>
        <w:t xml:space="preserve">  </w:t>
      </w:r>
      <w:r>
        <w:rPr>
          <w:rFonts w:hint="eastAsia"/>
          <w:sz w:val="15"/>
          <w:szCs w:val="15"/>
          <w:lang w:val="en-US" w:eastAsia="zh-CN"/>
        </w:rPr>
        <w:t>鲁A83023D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