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杨利杰</w:t>
      </w:r>
      <w:r>
        <w:rPr>
          <w:rFonts w:hint="eastAsia"/>
          <w:sz w:val="15"/>
          <w:szCs w:val="15"/>
          <w:highlight w:val="none"/>
        </w:rPr>
        <w:t>，</w:t>
      </w:r>
      <w:r>
        <w:rPr>
          <w:rFonts w:hint="eastAsia"/>
          <w:sz w:val="15"/>
          <w:szCs w:val="15"/>
          <w:highlight w:val="none"/>
          <w:lang w:val="en-US" w:eastAsia="zh-CN"/>
        </w:rPr>
        <w:t>130126199112270021</w:t>
      </w:r>
      <w:r>
        <w:rPr>
          <w:rFonts w:hint="eastAsia"/>
          <w:sz w:val="15"/>
          <w:szCs w:val="15"/>
        </w:rPr>
        <w:t xml:space="preserve">  </w:t>
      </w:r>
      <w:r>
        <w:rPr>
          <w:rFonts w:hint="eastAsia"/>
          <w:sz w:val="15"/>
          <w:szCs w:val="15"/>
          <w:lang w:val="en-US" w:eastAsia="zh-CN"/>
        </w:rPr>
        <w:t>冀A58529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