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魏新英</w:t>
      </w:r>
      <w:r>
        <w:rPr>
          <w:rFonts w:hint="eastAsia"/>
          <w:sz w:val="15"/>
          <w:szCs w:val="15"/>
          <w:highlight w:val="none"/>
        </w:rPr>
        <w:t>，</w:t>
      </w:r>
      <w:r>
        <w:rPr>
          <w:rFonts w:hint="eastAsia"/>
          <w:sz w:val="15"/>
          <w:szCs w:val="15"/>
          <w:highlight w:val="none"/>
          <w:lang w:val="en-US" w:eastAsia="zh-CN"/>
        </w:rPr>
        <w:t>130126198710083029</w:t>
      </w:r>
      <w:r>
        <w:rPr>
          <w:rFonts w:hint="eastAsia"/>
          <w:sz w:val="15"/>
          <w:szCs w:val="15"/>
        </w:rPr>
        <w:t xml:space="preserve">  </w:t>
      </w:r>
      <w:r>
        <w:rPr>
          <w:rFonts w:hint="eastAsia"/>
          <w:sz w:val="15"/>
          <w:szCs w:val="15"/>
          <w:lang w:val="en-US" w:eastAsia="zh-CN"/>
        </w:rPr>
        <w:t>京A40718D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