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康晓丽</w:t>
      </w:r>
      <w:r>
        <w:rPr>
          <w:rFonts w:hint="eastAsia"/>
          <w:sz w:val="15"/>
          <w:szCs w:val="15"/>
          <w:highlight w:val="none"/>
        </w:rPr>
        <w:t>，</w:t>
      </w:r>
      <w:r>
        <w:rPr>
          <w:rFonts w:hint="eastAsia"/>
          <w:sz w:val="15"/>
          <w:szCs w:val="15"/>
          <w:highlight w:val="none"/>
          <w:lang w:val="en-US" w:eastAsia="zh-CN"/>
        </w:rPr>
        <w:t>130126198702052724</w:t>
      </w:r>
      <w:r>
        <w:rPr>
          <w:rFonts w:hint="eastAsia"/>
          <w:sz w:val="15"/>
          <w:szCs w:val="15"/>
        </w:rPr>
        <w:t xml:space="preserve">  </w:t>
      </w:r>
      <w:r>
        <w:rPr>
          <w:rFonts w:hint="eastAsia"/>
          <w:sz w:val="15"/>
          <w:szCs w:val="15"/>
          <w:lang w:val="en-US" w:eastAsia="zh-CN"/>
        </w:rPr>
        <w:t>冀AJ5243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