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马建林</w:t>
      </w:r>
      <w:r>
        <w:rPr>
          <w:rFonts w:hint="eastAsia"/>
          <w:sz w:val="15"/>
          <w:szCs w:val="15"/>
          <w:highlight w:val="none"/>
        </w:rPr>
        <w:t>，</w:t>
      </w:r>
      <w:r>
        <w:rPr>
          <w:rFonts w:hint="eastAsia"/>
          <w:sz w:val="15"/>
          <w:szCs w:val="15"/>
          <w:highlight w:val="none"/>
          <w:lang w:val="en-US" w:eastAsia="zh-CN"/>
        </w:rPr>
        <w:t>130126198602250918</w:t>
      </w:r>
      <w:r>
        <w:rPr>
          <w:rFonts w:hint="eastAsia"/>
          <w:sz w:val="15"/>
          <w:szCs w:val="15"/>
        </w:rPr>
        <w:t xml:space="preserve">  </w:t>
      </w:r>
      <w:r>
        <w:rPr>
          <w:rFonts w:hint="eastAsia"/>
          <w:sz w:val="15"/>
          <w:szCs w:val="15"/>
          <w:lang w:val="en-US" w:eastAsia="zh-CN"/>
        </w:rPr>
        <w:t>冀ARG083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