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秘红燕</w:t>
      </w:r>
      <w:r>
        <w:rPr>
          <w:rFonts w:hint="eastAsia"/>
          <w:sz w:val="15"/>
          <w:szCs w:val="15"/>
          <w:highlight w:val="none"/>
        </w:rPr>
        <w:t>，</w:t>
      </w:r>
      <w:r>
        <w:rPr>
          <w:rFonts w:hint="eastAsia"/>
          <w:sz w:val="15"/>
          <w:szCs w:val="15"/>
          <w:highlight w:val="none"/>
          <w:lang w:val="en-US" w:eastAsia="zh-CN"/>
        </w:rPr>
        <w:t>130126198602042721</w:t>
      </w:r>
      <w:r>
        <w:rPr>
          <w:rFonts w:hint="eastAsia"/>
          <w:sz w:val="15"/>
          <w:szCs w:val="15"/>
        </w:rPr>
        <w:t xml:space="preserve">  </w:t>
      </w:r>
      <w:r>
        <w:rPr>
          <w:rFonts w:hint="eastAsia"/>
          <w:sz w:val="15"/>
          <w:szCs w:val="15"/>
          <w:lang w:val="en-US" w:eastAsia="zh-CN"/>
        </w:rPr>
        <w:t>冀A3166X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