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郭峰</w:t>
      </w:r>
      <w:r>
        <w:rPr>
          <w:rFonts w:hint="eastAsia"/>
          <w:sz w:val="15"/>
          <w:szCs w:val="15"/>
          <w:highlight w:val="none"/>
        </w:rPr>
        <w:t>，</w:t>
      </w:r>
      <w:r>
        <w:rPr>
          <w:rFonts w:hint="eastAsia"/>
          <w:sz w:val="15"/>
          <w:szCs w:val="15"/>
          <w:highlight w:val="none"/>
          <w:lang w:val="en-US" w:eastAsia="zh-CN"/>
        </w:rPr>
        <w:t>130126198410041214</w:t>
      </w:r>
      <w:r>
        <w:rPr>
          <w:rFonts w:hint="eastAsia"/>
          <w:sz w:val="15"/>
          <w:szCs w:val="15"/>
        </w:rPr>
        <w:t xml:space="preserve">  </w:t>
      </w:r>
      <w:r>
        <w:rPr>
          <w:rFonts w:hint="eastAsia"/>
          <w:sz w:val="15"/>
          <w:szCs w:val="15"/>
          <w:lang w:val="en-US" w:eastAsia="zh-CN"/>
        </w:rPr>
        <w:t>冀A30027D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