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孙英杰</w:t>
      </w:r>
      <w:r>
        <w:rPr>
          <w:rFonts w:hint="eastAsia"/>
          <w:sz w:val="15"/>
          <w:szCs w:val="15"/>
          <w:highlight w:val="none"/>
        </w:rPr>
        <w:t>，</w:t>
      </w:r>
      <w:r>
        <w:rPr>
          <w:rFonts w:hint="eastAsia"/>
          <w:sz w:val="15"/>
          <w:szCs w:val="15"/>
          <w:highlight w:val="none"/>
          <w:lang w:val="en-US" w:eastAsia="zh-CN"/>
        </w:rPr>
        <w:t>130126198406203014</w:t>
      </w:r>
      <w:r>
        <w:rPr>
          <w:rFonts w:hint="eastAsia"/>
          <w:sz w:val="15"/>
          <w:szCs w:val="15"/>
        </w:rPr>
        <w:t xml:space="preserve">  </w:t>
      </w:r>
      <w:r>
        <w:rPr>
          <w:rFonts w:hint="eastAsia"/>
          <w:sz w:val="15"/>
          <w:szCs w:val="15"/>
          <w:lang w:val="en-US" w:eastAsia="zh-CN"/>
        </w:rPr>
        <w:t>冀A52789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