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白海峰</w:t>
      </w:r>
      <w:r>
        <w:rPr>
          <w:rFonts w:hint="eastAsia"/>
          <w:sz w:val="15"/>
          <w:szCs w:val="15"/>
          <w:highlight w:val="none"/>
        </w:rPr>
        <w:t>，</w:t>
      </w:r>
      <w:r>
        <w:rPr>
          <w:rFonts w:hint="eastAsia"/>
          <w:sz w:val="15"/>
          <w:szCs w:val="15"/>
          <w:highlight w:val="none"/>
          <w:lang w:val="en-US" w:eastAsia="zh-CN"/>
        </w:rPr>
        <w:t>130126198305253311</w:t>
      </w:r>
      <w:r>
        <w:rPr>
          <w:rFonts w:hint="eastAsia"/>
          <w:sz w:val="15"/>
          <w:szCs w:val="15"/>
        </w:rPr>
        <w:t xml:space="preserve">  </w:t>
      </w:r>
      <w:r>
        <w:rPr>
          <w:rFonts w:hint="eastAsia"/>
          <w:sz w:val="15"/>
          <w:szCs w:val="15"/>
          <w:lang w:val="en-US" w:eastAsia="zh-CN"/>
        </w:rPr>
        <w:t>冀A288BG</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