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刘旭明</w:t>
      </w:r>
      <w:r>
        <w:rPr>
          <w:rFonts w:hint="eastAsia"/>
          <w:sz w:val="15"/>
          <w:szCs w:val="15"/>
          <w:highlight w:val="none"/>
        </w:rPr>
        <w:t>，</w:t>
      </w:r>
      <w:r>
        <w:rPr>
          <w:rFonts w:hint="eastAsia"/>
          <w:sz w:val="15"/>
          <w:szCs w:val="15"/>
          <w:highlight w:val="none"/>
          <w:lang w:val="en-US" w:eastAsia="zh-CN"/>
        </w:rPr>
        <w:t>130126198209020913</w:t>
      </w:r>
      <w:r>
        <w:rPr>
          <w:rFonts w:hint="eastAsia"/>
          <w:sz w:val="15"/>
          <w:szCs w:val="15"/>
        </w:rPr>
        <w:t xml:space="preserve">  </w:t>
      </w:r>
      <w:r>
        <w:rPr>
          <w:rFonts w:hint="eastAsia"/>
          <w:sz w:val="15"/>
          <w:szCs w:val="15"/>
          <w:lang w:val="en-US" w:eastAsia="zh-CN"/>
        </w:rPr>
        <w:t>冀A856B4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