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徐佳博</w:t>
      </w:r>
      <w:r>
        <w:rPr>
          <w:rFonts w:hint="eastAsia"/>
          <w:sz w:val="15"/>
          <w:szCs w:val="15"/>
          <w:highlight w:val="none"/>
        </w:rPr>
        <w:t>，</w:t>
      </w:r>
      <w:r>
        <w:rPr>
          <w:rFonts w:hint="eastAsia"/>
          <w:sz w:val="15"/>
          <w:szCs w:val="15"/>
          <w:highlight w:val="none"/>
          <w:lang w:val="en-US" w:eastAsia="zh-CN"/>
        </w:rPr>
        <w:t>130123200511130030</w:t>
      </w:r>
      <w:r>
        <w:rPr>
          <w:rFonts w:hint="eastAsia"/>
          <w:sz w:val="15"/>
          <w:szCs w:val="15"/>
        </w:rPr>
        <w:t xml:space="preserve">  </w:t>
      </w:r>
      <w:r>
        <w:rPr>
          <w:rFonts w:hint="eastAsia"/>
          <w:sz w:val="15"/>
          <w:szCs w:val="15"/>
          <w:lang w:val="en-US" w:eastAsia="zh-CN"/>
        </w:rPr>
        <w:t>冀A9483B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