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朱建勇</w:t>
      </w:r>
      <w:r>
        <w:rPr>
          <w:rFonts w:hint="eastAsia"/>
          <w:sz w:val="15"/>
          <w:szCs w:val="15"/>
          <w:highlight w:val="none"/>
        </w:rPr>
        <w:t>，</w:t>
      </w:r>
      <w:r>
        <w:rPr>
          <w:rFonts w:hint="eastAsia"/>
          <w:sz w:val="15"/>
          <w:szCs w:val="15"/>
          <w:highlight w:val="none"/>
          <w:lang w:val="en-US" w:eastAsia="zh-CN"/>
        </w:rPr>
        <w:t>130123197412195715</w:t>
      </w:r>
      <w:r>
        <w:rPr>
          <w:rFonts w:hint="eastAsia"/>
          <w:sz w:val="15"/>
          <w:szCs w:val="15"/>
        </w:rPr>
        <w:t xml:space="preserve">  </w:t>
      </w:r>
      <w:r>
        <w:rPr>
          <w:rFonts w:hint="eastAsia"/>
          <w:sz w:val="15"/>
          <w:szCs w:val="15"/>
          <w:lang w:val="en-US" w:eastAsia="zh-CN"/>
        </w:rPr>
        <w:t>冀AU0175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