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解建强</w:t>
      </w:r>
      <w:r>
        <w:rPr>
          <w:rFonts w:hint="eastAsia"/>
          <w:sz w:val="15"/>
          <w:szCs w:val="15"/>
          <w:highlight w:val="none"/>
        </w:rPr>
        <w:t>，</w:t>
      </w:r>
      <w:r>
        <w:rPr>
          <w:rFonts w:hint="eastAsia"/>
          <w:sz w:val="15"/>
          <w:szCs w:val="15"/>
          <w:highlight w:val="none"/>
          <w:lang w:val="en-US" w:eastAsia="zh-CN"/>
        </w:rPr>
        <w:t>130122198109075911</w:t>
      </w:r>
      <w:r>
        <w:rPr>
          <w:rFonts w:hint="eastAsia"/>
          <w:sz w:val="15"/>
          <w:szCs w:val="15"/>
        </w:rPr>
        <w:t xml:space="preserve">  </w:t>
      </w:r>
      <w:r>
        <w:rPr>
          <w:rFonts w:hint="eastAsia"/>
          <w:sz w:val="15"/>
          <w:szCs w:val="15"/>
          <w:lang w:val="en-US" w:eastAsia="zh-CN"/>
        </w:rPr>
        <w:t>冀A74610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