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冯晓宁</w:t>
      </w:r>
      <w:r>
        <w:rPr>
          <w:rFonts w:hint="eastAsia"/>
          <w:sz w:val="15"/>
          <w:szCs w:val="15"/>
          <w:highlight w:val="none"/>
        </w:rPr>
        <w:t>，</w:t>
      </w:r>
      <w:r>
        <w:rPr>
          <w:rFonts w:hint="eastAsia"/>
          <w:sz w:val="15"/>
          <w:szCs w:val="15"/>
          <w:highlight w:val="none"/>
          <w:lang w:val="en-US" w:eastAsia="zh-CN"/>
        </w:rPr>
        <w:t>372930198702171488</w:t>
      </w:r>
      <w:r>
        <w:rPr>
          <w:rFonts w:hint="eastAsia"/>
          <w:sz w:val="15"/>
          <w:szCs w:val="15"/>
        </w:rPr>
        <w:t xml:space="preserve">  </w:t>
      </w:r>
      <w:r>
        <w:rPr>
          <w:rFonts w:hint="eastAsia"/>
          <w:sz w:val="15"/>
          <w:szCs w:val="15"/>
          <w:lang w:val="en-US" w:eastAsia="zh-CN"/>
        </w:rPr>
        <w:t>冀A2851V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