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周秀丽</w:t>
      </w:r>
      <w:r>
        <w:rPr>
          <w:rFonts w:hint="eastAsia"/>
          <w:sz w:val="15"/>
          <w:szCs w:val="15"/>
          <w:highlight w:val="none"/>
        </w:rPr>
        <w:t>，</w:t>
      </w:r>
      <w:r>
        <w:rPr>
          <w:rFonts w:hint="eastAsia"/>
          <w:sz w:val="15"/>
          <w:szCs w:val="15"/>
          <w:highlight w:val="none"/>
          <w:lang w:val="en-US" w:eastAsia="zh-CN"/>
        </w:rPr>
        <w:t>132336197001192629</w:t>
      </w:r>
      <w:r>
        <w:rPr>
          <w:rFonts w:hint="eastAsia"/>
          <w:sz w:val="15"/>
          <w:szCs w:val="15"/>
        </w:rPr>
        <w:t xml:space="preserve">  </w:t>
      </w:r>
      <w:r>
        <w:rPr>
          <w:rFonts w:hint="eastAsia"/>
          <w:sz w:val="15"/>
          <w:szCs w:val="15"/>
          <w:lang w:val="en-US" w:eastAsia="zh-CN"/>
        </w:rPr>
        <w:t>冀ARU278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