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王宝娟</w:t>
      </w:r>
      <w:r>
        <w:rPr>
          <w:rFonts w:hint="eastAsia"/>
          <w:sz w:val="15"/>
          <w:szCs w:val="15"/>
          <w:highlight w:val="none"/>
        </w:rPr>
        <w:t>，</w:t>
      </w:r>
      <w:r>
        <w:rPr>
          <w:rFonts w:hint="eastAsia"/>
          <w:sz w:val="15"/>
          <w:szCs w:val="15"/>
          <w:highlight w:val="none"/>
          <w:lang w:val="en-US" w:eastAsia="zh-CN"/>
        </w:rPr>
        <w:t>130131198905162422</w:t>
      </w:r>
      <w:r>
        <w:rPr>
          <w:rFonts w:hint="eastAsia"/>
          <w:sz w:val="15"/>
          <w:szCs w:val="15"/>
        </w:rPr>
        <w:t xml:space="preserve">  </w:t>
      </w:r>
      <w:r>
        <w:rPr>
          <w:rFonts w:hint="eastAsia"/>
          <w:sz w:val="15"/>
          <w:szCs w:val="15"/>
          <w:lang w:val="en-US" w:eastAsia="zh-CN"/>
        </w:rPr>
        <w:t>冀A91392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