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杜建英</w:t>
      </w:r>
      <w:r>
        <w:rPr>
          <w:rFonts w:hint="eastAsia"/>
          <w:sz w:val="15"/>
          <w:szCs w:val="15"/>
          <w:highlight w:val="none"/>
        </w:rPr>
        <w:t>，</w:t>
      </w:r>
      <w:r>
        <w:rPr>
          <w:rFonts w:hint="eastAsia"/>
          <w:sz w:val="15"/>
          <w:szCs w:val="15"/>
          <w:highlight w:val="none"/>
          <w:lang w:val="en-US" w:eastAsia="zh-CN"/>
        </w:rPr>
        <w:t>132336197412241624</w:t>
      </w:r>
      <w:r>
        <w:rPr>
          <w:rFonts w:hint="eastAsia"/>
          <w:sz w:val="15"/>
          <w:szCs w:val="15"/>
        </w:rPr>
        <w:t xml:space="preserve">  </w:t>
      </w:r>
      <w:r>
        <w:rPr>
          <w:rFonts w:hint="eastAsia"/>
          <w:sz w:val="15"/>
          <w:szCs w:val="15"/>
          <w:lang w:val="en-US" w:eastAsia="zh-CN"/>
        </w:rPr>
        <w:t>冀A465AG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