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王彦霄</w:t>
      </w:r>
      <w:r>
        <w:rPr>
          <w:rFonts w:hint="eastAsia"/>
          <w:sz w:val="15"/>
          <w:szCs w:val="15"/>
          <w:highlight w:val="none"/>
        </w:rPr>
        <w:t>，</w:t>
      </w:r>
      <w:r>
        <w:rPr>
          <w:rFonts w:hint="eastAsia"/>
          <w:sz w:val="15"/>
          <w:szCs w:val="15"/>
          <w:highlight w:val="none"/>
          <w:lang w:val="en-US" w:eastAsia="zh-CN"/>
        </w:rPr>
        <w:t>132335198003031464</w:t>
      </w:r>
      <w:r>
        <w:rPr>
          <w:rFonts w:hint="eastAsia"/>
          <w:sz w:val="15"/>
          <w:szCs w:val="15"/>
        </w:rPr>
        <w:t xml:space="preserve">  </w:t>
      </w:r>
      <w:r>
        <w:rPr>
          <w:rFonts w:hint="eastAsia"/>
          <w:sz w:val="15"/>
          <w:szCs w:val="15"/>
          <w:lang w:val="en-US" w:eastAsia="zh-CN"/>
        </w:rPr>
        <w:t>冀A2919Z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