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刘新霞</w:t>
      </w:r>
      <w:r>
        <w:rPr>
          <w:rFonts w:hint="eastAsia"/>
          <w:sz w:val="15"/>
          <w:szCs w:val="15"/>
          <w:highlight w:val="none"/>
        </w:rPr>
        <w:t>，</w:t>
      </w:r>
      <w:r>
        <w:rPr>
          <w:rFonts w:hint="eastAsia"/>
          <w:sz w:val="15"/>
          <w:szCs w:val="15"/>
          <w:highlight w:val="none"/>
          <w:lang w:val="en-US" w:eastAsia="zh-CN"/>
        </w:rPr>
        <w:t>132325196511295026</w:t>
      </w:r>
      <w:r>
        <w:rPr>
          <w:rFonts w:hint="eastAsia"/>
          <w:sz w:val="15"/>
          <w:szCs w:val="15"/>
        </w:rPr>
        <w:t xml:space="preserve">  </w:t>
      </w:r>
      <w:r>
        <w:rPr>
          <w:rFonts w:hint="eastAsia"/>
          <w:sz w:val="15"/>
          <w:szCs w:val="15"/>
          <w:lang w:val="en-US" w:eastAsia="zh-CN"/>
        </w:rPr>
        <w:t>冀A813AZ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