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李立卿</w:t>
      </w:r>
      <w:r>
        <w:rPr>
          <w:rFonts w:hint="eastAsia"/>
          <w:sz w:val="15"/>
          <w:szCs w:val="15"/>
          <w:highlight w:val="none"/>
        </w:rPr>
        <w:t>，</w:t>
      </w:r>
      <w:r>
        <w:rPr>
          <w:rFonts w:hint="eastAsia"/>
          <w:sz w:val="15"/>
          <w:szCs w:val="15"/>
          <w:highlight w:val="none"/>
          <w:lang w:val="en-US" w:eastAsia="zh-CN"/>
        </w:rPr>
        <w:t>132302197402155024</w:t>
      </w:r>
      <w:r>
        <w:rPr>
          <w:rFonts w:hint="eastAsia"/>
          <w:sz w:val="15"/>
          <w:szCs w:val="15"/>
        </w:rPr>
        <w:t xml:space="preserve">  </w:t>
      </w:r>
      <w:r>
        <w:rPr>
          <w:rFonts w:hint="eastAsia"/>
          <w:sz w:val="15"/>
          <w:szCs w:val="15"/>
          <w:lang w:val="en-US" w:eastAsia="zh-CN"/>
        </w:rPr>
        <w:t>冀A6AZ66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