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王俊丽</w:t>
      </w:r>
      <w:r>
        <w:rPr>
          <w:rFonts w:hint="eastAsia"/>
          <w:sz w:val="15"/>
          <w:szCs w:val="15"/>
          <w:highlight w:val="none"/>
        </w:rPr>
        <w:t>，</w:t>
      </w:r>
      <w:r>
        <w:rPr>
          <w:rFonts w:hint="eastAsia"/>
          <w:sz w:val="15"/>
          <w:szCs w:val="15"/>
          <w:highlight w:val="none"/>
          <w:lang w:val="en-US" w:eastAsia="zh-CN"/>
        </w:rPr>
        <w:t>130185198810193743</w:t>
      </w:r>
      <w:r>
        <w:rPr>
          <w:rFonts w:hint="eastAsia"/>
          <w:sz w:val="15"/>
          <w:szCs w:val="15"/>
        </w:rPr>
        <w:t xml:space="preserve">  </w:t>
      </w:r>
      <w:r>
        <w:rPr>
          <w:rFonts w:hint="eastAsia"/>
          <w:sz w:val="15"/>
          <w:szCs w:val="15"/>
          <w:lang w:val="en-US" w:eastAsia="zh-CN"/>
        </w:rPr>
        <w:t>冀A44403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