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常丽艳</w:t>
      </w:r>
      <w:r>
        <w:rPr>
          <w:rFonts w:hint="eastAsia"/>
          <w:sz w:val="15"/>
          <w:szCs w:val="15"/>
          <w:highlight w:val="none"/>
        </w:rPr>
        <w:t>，</w:t>
      </w:r>
      <w:r>
        <w:rPr>
          <w:rFonts w:hint="eastAsia"/>
          <w:sz w:val="15"/>
          <w:szCs w:val="15"/>
          <w:highlight w:val="none"/>
          <w:lang w:val="en-US" w:eastAsia="zh-CN"/>
        </w:rPr>
        <w:t>130185198208072586</w:t>
      </w:r>
      <w:r>
        <w:rPr>
          <w:rFonts w:hint="eastAsia"/>
          <w:sz w:val="15"/>
          <w:szCs w:val="15"/>
        </w:rPr>
        <w:t xml:space="preserve">  </w:t>
      </w:r>
      <w:r>
        <w:rPr>
          <w:rFonts w:hint="eastAsia"/>
          <w:sz w:val="15"/>
          <w:szCs w:val="15"/>
          <w:lang w:val="en-US" w:eastAsia="zh-CN"/>
        </w:rPr>
        <w:t>沪A28696A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