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岳玲玲</w:t>
      </w:r>
      <w:r>
        <w:rPr>
          <w:rFonts w:hint="eastAsia"/>
          <w:sz w:val="15"/>
          <w:szCs w:val="15"/>
          <w:highlight w:val="none"/>
        </w:rPr>
        <w:t>，</w:t>
      </w:r>
      <w:r>
        <w:rPr>
          <w:rFonts w:hint="eastAsia"/>
          <w:sz w:val="15"/>
          <w:szCs w:val="15"/>
          <w:highlight w:val="none"/>
          <w:lang w:val="en-US" w:eastAsia="zh-CN"/>
        </w:rPr>
        <w:t>130131199505212122</w:t>
      </w:r>
      <w:r>
        <w:rPr>
          <w:rFonts w:hint="eastAsia"/>
          <w:sz w:val="15"/>
          <w:szCs w:val="15"/>
        </w:rPr>
        <w:t xml:space="preserve">  </w:t>
      </w:r>
      <w:r>
        <w:rPr>
          <w:rFonts w:hint="eastAsia"/>
          <w:sz w:val="15"/>
          <w:szCs w:val="15"/>
          <w:lang w:val="en-US" w:eastAsia="zh-CN"/>
        </w:rPr>
        <w:t>沪A26660A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