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杜春丽</w:t>
      </w:r>
      <w:r>
        <w:rPr>
          <w:rFonts w:hint="eastAsia"/>
          <w:sz w:val="15"/>
          <w:szCs w:val="15"/>
          <w:highlight w:val="none"/>
        </w:rPr>
        <w:t>，</w:t>
      </w:r>
      <w:r>
        <w:rPr>
          <w:rFonts w:hint="eastAsia"/>
          <w:sz w:val="15"/>
          <w:szCs w:val="15"/>
          <w:highlight w:val="none"/>
          <w:lang w:val="en-US" w:eastAsia="zh-CN"/>
        </w:rPr>
        <w:t>130131199112100621</w:t>
      </w:r>
      <w:r>
        <w:rPr>
          <w:rFonts w:hint="eastAsia"/>
          <w:sz w:val="15"/>
          <w:szCs w:val="15"/>
        </w:rPr>
        <w:t xml:space="preserve">  </w:t>
      </w:r>
      <w:r>
        <w:rPr>
          <w:rFonts w:hint="eastAsia"/>
          <w:sz w:val="15"/>
          <w:szCs w:val="15"/>
          <w:lang w:val="en-US" w:eastAsia="zh-CN"/>
        </w:rPr>
        <w:t>冀A667DW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