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陈丽霞</w:t>
      </w:r>
      <w:r>
        <w:rPr>
          <w:rFonts w:hint="eastAsia"/>
          <w:sz w:val="15"/>
          <w:szCs w:val="15"/>
          <w:highlight w:val="none"/>
        </w:rPr>
        <w:t>，</w:t>
      </w:r>
      <w:r>
        <w:rPr>
          <w:rFonts w:hint="eastAsia"/>
          <w:sz w:val="15"/>
          <w:szCs w:val="15"/>
          <w:highlight w:val="none"/>
          <w:lang w:val="en-US" w:eastAsia="zh-CN"/>
        </w:rPr>
        <w:t>130131198905030067</w:t>
      </w:r>
      <w:r>
        <w:rPr>
          <w:rFonts w:hint="eastAsia"/>
          <w:sz w:val="15"/>
          <w:szCs w:val="15"/>
        </w:rPr>
        <w:t xml:space="preserve">  </w:t>
      </w:r>
      <w:r>
        <w:rPr>
          <w:rFonts w:hint="eastAsia"/>
          <w:sz w:val="15"/>
          <w:szCs w:val="15"/>
          <w:lang w:val="en-US" w:eastAsia="zh-CN"/>
        </w:rPr>
        <w:t>冀A0P054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