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侠进红</w:t>
      </w:r>
      <w:r>
        <w:rPr>
          <w:rFonts w:hint="eastAsia"/>
          <w:sz w:val="15"/>
          <w:szCs w:val="15"/>
          <w:highlight w:val="none"/>
        </w:rPr>
        <w:t>，</w:t>
      </w:r>
      <w:r>
        <w:rPr>
          <w:rFonts w:hint="eastAsia"/>
          <w:sz w:val="15"/>
          <w:szCs w:val="15"/>
          <w:highlight w:val="none"/>
          <w:lang w:val="en-US" w:eastAsia="zh-CN"/>
        </w:rPr>
        <w:t>130131198801091543</w:t>
      </w:r>
      <w:r>
        <w:rPr>
          <w:rFonts w:hint="eastAsia"/>
          <w:sz w:val="15"/>
          <w:szCs w:val="15"/>
        </w:rPr>
        <w:t xml:space="preserve">  </w:t>
      </w:r>
      <w:r>
        <w:rPr>
          <w:rFonts w:hint="eastAsia"/>
          <w:sz w:val="15"/>
          <w:szCs w:val="15"/>
          <w:lang w:val="en-US" w:eastAsia="zh-CN"/>
        </w:rPr>
        <w:t>沪A26952A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